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BE20" w14:textId="77777777" w:rsidR="00773C9B" w:rsidRPr="00D3650B" w:rsidRDefault="00773C9B">
      <w:pPr>
        <w:ind w:left="720" w:right="720"/>
        <w:rPr>
          <w:rFonts w:asciiTheme="majorHAnsi" w:hAnsiTheme="majorHAnsi" w:cstheme="majorHAnsi"/>
        </w:rPr>
      </w:pPr>
    </w:p>
    <w:p w14:paraId="67421031" w14:textId="42304B97" w:rsidR="00D16FE0" w:rsidRDefault="00320C23" w:rsidP="00D16FE0">
      <w:pPr>
        <w:ind w:left="720" w:right="72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COSP Side Event</w:t>
      </w:r>
    </w:p>
    <w:p w14:paraId="51D0C4A2" w14:textId="77F89895" w:rsidR="00320C23" w:rsidRPr="00A267EB" w:rsidRDefault="00320C23" w:rsidP="00D16FE0">
      <w:pPr>
        <w:ind w:left="720" w:right="72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13</w:t>
      </w:r>
      <w:r w:rsidRPr="00320C23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sz w:val="32"/>
          <w:szCs w:val="32"/>
        </w:rPr>
        <w:t xml:space="preserve"> to 17</w:t>
      </w:r>
      <w:r w:rsidRPr="00320C23">
        <w:rPr>
          <w:rFonts w:asciiTheme="majorHAnsi" w:hAnsiTheme="majorHAnsi" w:cs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sz w:val="32"/>
          <w:szCs w:val="32"/>
        </w:rPr>
        <w:t xml:space="preserve"> June 2023</w:t>
      </w:r>
    </w:p>
    <w:p w14:paraId="6C742860" w14:textId="02611F03" w:rsidR="00D16FE0" w:rsidRPr="00A267EB" w:rsidRDefault="005C5016" w:rsidP="00D16FE0">
      <w:pPr>
        <w:ind w:left="720" w:right="72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Concept Note</w:t>
      </w:r>
    </w:p>
    <w:p w14:paraId="3F3DDF64" w14:textId="77777777" w:rsidR="00D16FE0" w:rsidRPr="00A267EB" w:rsidRDefault="00D16FE0" w:rsidP="00D16FE0">
      <w:pPr>
        <w:ind w:left="720" w:right="72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F4BFD41" w14:textId="361AA8E9" w:rsidR="00D16FE0" w:rsidRPr="00A267EB" w:rsidRDefault="00E86902" w:rsidP="00D16FE0">
      <w:pPr>
        <w:ind w:left="720" w:right="72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Improving Independent Living: Improving Support Jobs</w:t>
      </w:r>
    </w:p>
    <w:p w14:paraId="713F58AA" w14:textId="77777777" w:rsidR="00D16FE0" w:rsidRPr="00A267EB" w:rsidRDefault="00D16FE0" w:rsidP="00D16FE0">
      <w:pPr>
        <w:ind w:left="720" w:right="72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639587D" w14:textId="61053321" w:rsidR="00D16FE0" w:rsidRDefault="00E25FC9" w:rsidP="00D16FE0">
      <w:pPr>
        <w:ind w:left="720" w:right="72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Duration: 1h15 mins</w:t>
      </w:r>
    </w:p>
    <w:p w14:paraId="20634730" w14:textId="77777777" w:rsidR="00F72027" w:rsidRDefault="00F72027" w:rsidP="00D16FE0">
      <w:pPr>
        <w:ind w:left="720" w:right="72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CACFB7C" w14:textId="51144EFD" w:rsidR="00F72027" w:rsidRPr="00A267EB" w:rsidRDefault="00F72027" w:rsidP="00D16FE0">
      <w:pPr>
        <w:ind w:left="720" w:right="72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Co-Hosts: EASPD, European Commission, ANCOR, Keystone</w:t>
      </w:r>
    </w:p>
    <w:p w14:paraId="01046817" w14:textId="77777777" w:rsidR="00D16FE0" w:rsidRPr="00A267EB" w:rsidRDefault="00D16FE0" w:rsidP="00D16FE0">
      <w:pPr>
        <w:ind w:left="720" w:right="7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E605E3" w14:textId="77777777" w:rsidR="00D16FE0" w:rsidRPr="00A267EB" w:rsidRDefault="00D16FE0" w:rsidP="00BA5815">
      <w:pPr>
        <w:ind w:right="720"/>
        <w:rPr>
          <w:rFonts w:asciiTheme="majorHAnsi" w:hAnsiTheme="majorHAnsi" w:cstheme="majorHAnsi"/>
          <w:bCs/>
          <w:sz w:val="24"/>
          <w:szCs w:val="24"/>
        </w:rPr>
      </w:pPr>
    </w:p>
    <w:p w14:paraId="572AD107" w14:textId="2366ABA7" w:rsidR="00F73EF2" w:rsidRDefault="00263F9C" w:rsidP="00A267EB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The right to live</w:t>
      </w:r>
      <w:r w:rsidR="0065105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F24C2">
        <w:rPr>
          <w:rFonts w:asciiTheme="majorHAnsi" w:hAnsiTheme="majorHAnsi" w:cstheme="majorHAnsi"/>
          <w:bCs/>
          <w:sz w:val="24"/>
          <w:szCs w:val="24"/>
        </w:rPr>
        <w:t>independently</w:t>
      </w:r>
      <w:r w:rsidR="00651055">
        <w:rPr>
          <w:rFonts w:asciiTheme="majorHAnsi" w:hAnsiTheme="majorHAnsi" w:cstheme="majorHAnsi"/>
          <w:bCs/>
          <w:sz w:val="24"/>
          <w:szCs w:val="24"/>
        </w:rPr>
        <w:t xml:space="preserve"> and be included in the community is </w:t>
      </w:r>
      <w:r>
        <w:rPr>
          <w:rFonts w:asciiTheme="majorHAnsi" w:hAnsiTheme="majorHAnsi" w:cstheme="majorHAnsi"/>
          <w:bCs/>
          <w:sz w:val="24"/>
          <w:szCs w:val="24"/>
        </w:rPr>
        <w:t>of paramount importance</w:t>
      </w:r>
      <w:r w:rsidR="006E6FC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651055">
        <w:rPr>
          <w:rFonts w:asciiTheme="majorHAnsi" w:hAnsiTheme="majorHAnsi" w:cstheme="majorHAnsi"/>
          <w:bCs/>
          <w:sz w:val="24"/>
          <w:szCs w:val="24"/>
        </w:rPr>
        <w:t xml:space="preserve">to allow people </w:t>
      </w:r>
      <w:r w:rsidR="006E6FCA">
        <w:rPr>
          <w:rFonts w:asciiTheme="majorHAnsi" w:hAnsiTheme="majorHAnsi" w:cstheme="majorHAnsi"/>
          <w:bCs/>
          <w:sz w:val="24"/>
          <w:szCs w:val="24"/>
        </w:rPr>
        <w:t xml:space="preserve">with disabilities </w:t>
      </w:r>
      <w:r w:rsidR="00651055">
        <w:rPr>
          <w:rFonts w:asciiTheme="majorHAnsi" w:hAnsiTheme="majorHAnsi" w:cstheme="majorHAnsi"/>
          <w:bCs/>
          <w:sz w:val="24"/>
          <w:szCs w:val="24"/>
        </w:rPr>
        <w:t xml:space="preserve">to </w:t>
      </w:r>
      <w:r w:rsidR="006E6FCA">
        <w:rPr>
          <w:rFonts w:asciiTheme="majorHAnsi" w:hAnsiTheme="majorHAnsi" w:cstheme="majorHAnsi"/>
          <w:bCs/>
          <w:sz w:val="24"/>
          <w:szCs w:val="24"/>
        </w:rPr>
        <w:t>exercise</w:t>
      </w:r>
      <w:r w:rsidR="00651055">
        <w:rPr>
          <w:rFonts w:asciiTheme="majorHAnsi" w:hAnsiTheme="majorHAnsi" w:cstheme="majorHAnsi"/>
          <w:bCs/>
          <w:sz w:val="24"/>
          <w:szCs w:val="24"/>
        </w:rPr>
        <w:t xml:space="preserve"> choice and control over the life they want to live and a key precondition for</w:t>
      </w:r>
      <w:r>
        <w:rPr>
          <w:rFonts w:asciiTheme="majorHAnsi" w:hAnsiTheme="majorHAnsi" w:cstheme="majorHAnsi"/>
          <w:bCs/>
          <w:sz w:val="24"/>
          <w:szCs w:val="24"/>
        </w:rPr>
        <w:t xml:space="preserve"> ensuring</w:t>
      </w:r>
      <w:r w:rsidR="0065105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852BB">
        <w:rPr>
          <w:rFonts w:asciiTheme="majorHAnsi" w:hAnsiTheme="majorHAnsi" w:cstheme="majorHAnsi"/>
          <w:bCs/>
          <w:sz w:val="24"/>
          <w:szCs w:val="24"/>
        </w:rPr>
        <w:t>the</w:t>
      </w:r>
      <w:r w:rsidR="00651055">
        <w:rPr>
          <w:rFonts w:asciiTheme="majorHAnsi" w:hAnsiTheme="majorHAnsi" w:cstheme="majorHAnsi"/>
          <w:bCs/>
          <w:sz w:val="24"/>
          <w:szCs w:val="24"/>
        </w:rPr>
        <w:t xml:space="preserve"> full enjoyment of their human rights.  </w:t>
      </w:r>
      <w:r w:rsidR="00EB4FE5">
        <w:rPr>
          <w:rFonts w:asciiTheme="majorHAnsi" w:hAnsiTheme="majorHAnsi" w:cstheme="majorHAnsi"/>
          <w:bCs/>
          <w:sz w:val="24"/>
          <w:szCs w:val="24"/>
        </w:rPr>
        <w:t xml:space="preserve">Article 19 of the UN Convention on the </w:t>
      </w:r>
      <w:r w:rsidR="002A71AC">
        <w:rPr>
          <w:rFonts w:asciiTheme="majorHAnsi" w:hAnsiTheme="majorHAnsi" w:cstheme="majorHAnsi"/>
          <w:bCs/>
          <w:sz w:val="24"/>
          <w:szCs w:val="24"/>
        </w:rPr>
        <w:t xml:space="preserve">Rights of Persons with Disabilities </w:t>
      </w:r>
      <w:r w:rsidR="00087292">
        <w:rPr>
          <w:rFonts w:asciiTheme="majorHAnsi" w:hAnsiTheme="majorHAnsi" w:cstheme="majorHAnsi"/>
          <w:bCs/>
          <w:sz w:val="24"/>
          <w:szCs w:val="24"/>
        </w:rPr>
        <w:t xml:space="preserve">specifically recognises </w:t>
      </w:r>
      <w:r w:rsidR="002A71AC">
        <w:rPr>
          <w:rFonts w:asciiTheme="majorHAnsi" w:hAnsiTheme="majorHAnsi" w:cstheme="majorHAnsi"/>
          <w:bCs/>
          <w:sz w:val="24"/>
          <w:szCs w:val="24"/>
        </w:rPr>
        <w:t>the “</w:t>
      </w:r>
      <w:r w:rsidR="00087292">
        <w:rPr>
          <w:rFonts w:asciiTheme="majorHAnsi" w:hAnsiTheme="majorHAnsi" w:cstheme="majorHAnsi"/>
          <w:bCs/>
          <w:sz w:val="24"/>
          <w:szCs w:val="24"/>
        </w:rPr>
        <w:t xml:space="preserve">equal </w:t>
      </w:r>
      <w:r w:rsidR="002A71AC">
        <w:rPr>
          <w:rFonts w:asciiTheme="majorHAnsi" w:hAnsiTheme="majorHAnsi" w:cstheme="majorHAnsi"/>
          <w:bCs/>
          <w:sz w:val="24"/>
          <w:szCs w:val="24"/>
        </w:rPr>
        <w:t xml:space="preserve">right of all persons with disabilities to live in the community, with choices equal to others”. </w:t>
      </w:r>
      <w:r w:rsidR="00AF24C2">
        <w:rPr>
          <w:rFonts w:asciiTheme="majorHAnsi" w:hAnsiTheme="majorHAnsi" w:cstheme="majorHAnsi"/>
          <w:bCs/>
          <w:sz w:val="24"/>
          <w:szCs w:val="24"/>
        </w:rPr>
        <w:t>The article also</w:t>
      </w:r>
      <w:r w:rsidR="002A71AC">
        <w:rPr>
          <w:rFonts w:asciiTheme="majorHAnsi" w:hAnsiTheme="majorHAnsi" w:cstheme="majorHAnsi"/>
          <w:bCs/>
          <w:sz w:val="24"/>
          <w:szCs w:val="24"/>
        </w:rPr>
        <w:t xml:space="preserve"> highlights </w:t>
      </w:r>
      <w:r w:rsidR="00783A47">
        <w:rPr>
          <w:rFonts w:asciiTheme="majorHAnsi" w:hAnsiTheme="majorHAnsi" w:cstheme="majorHAnsi"/>
          <w:bCs/>
          <w:sz w:val="24"/>
          <w:szCs w:val="24"/>
        </w:rPr>
        <w:t>the importance of</w:t>
      </w:r>
      <w:r w:rsidR="00126779">
        <w:rPr>
          <w:rFonts w:asciiTheme="majorHAnsi" w:hAnsiTheme="majorHAnsi" w:cstheme="majorHAnsi"/>
          <w:bCs/>
          <w:sz w:val="24"/>
          <w:szCs w:val="24"/>
        </w:rPr>
        <w:t xml:space="preserve"> ensuring </w:t>
      </w:r>
      <w:r w:rsidR="00AF24C2">
        <w:rPr>
          <w:rFonts w:asciiTheme="majorHAnsi" w:hAnsiTheme="majorHAnsi" w:cstheme="majorHAnsi"/>
          <w:bCs/>
          <w:sz w:val="24"/>
          <w:szCs w:val="24"/>
        </w:rPr>
        <w:t xml:space="preserve">that </w:t>
      </w:r>
      <w:r w:rsidR="00A852BB">
        <w:rPr>
          <w:rFonts w:asciiTheme="majorHAnsi" w:hAnsiTheme="majorHAnsi" w:cstheme="majorHAnsi"/>
          <w:bCs/>
          <w:sz w:val="24"/>
          <w:szCs w:val="24"/>
        </w:rPr>
        <w:t>persons</w:t>
      </w:r>
      <w:r w:rsidR="00AF24C2">
        <w:rPr>
          <w:rFonts w:asciiTheme="majorHAnsi" w:hAnsiTheme="majorHAnsi" w:cstheme="majorHAnsi"/>
          <w:bCs/>
          <w:sz w:val="24"/>
          <w:szCs w:val="24"/>
        </w:rPr>
        <w:t xml:space="preserve"> with disabilities have </w:t>
      </w:r>
      <w:r w:rsidR="00126779">
        <w:rPr>
          <w:rFonts w:asciiTheme="majorHAnsi" w:hAnsiTheme="majorHAnsi" w:cstheme="majorHAnsi"/>
          <w:bCs/>
          <w:sz w:val="24"/>
          <w:szCs w:val="24"/>
        </w:rPr>
        <w:t>access to</w:t>
      </w:r>
      <w:r w:rsidR="00783A47">
        <w:rPr>
          <w:rFonts w:asciiTheme="majorHAnsi" w:hAnsiTheme="majorHAnsi" w:cstheme="majorHAnsi"/>
          <w:bCs/>
          <w:sz w:val="24"/>
          <w:szCs w:val="24"/>
        </w:rPr>
        <w:t xml:space="preserve"> a “range of in-home, residential and other community support services, including personal assistance”.</w:t>
      </w:r>
      <w:r w:rsidR="00613243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860A6AD" w14:textId="77777777" w:rsidR="006D287E" w:rsidRDefault="006D287E" w:rsidP="00A267EB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25F94EF" w14:textId="18E3F2CD" w:rsidR="00830BC3" w:rsidRDefault="00613243" w:rsidP="00830BC3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Imp</w:t>
      </w:r>
      <w:r w:rsidR="00CC673A">
        <w:rPr>
          <w:rFonts w:asciiTheme="majorHAnsi" w:hAnsiTheme="majorHAnsi" w:cstheme="majorHAnsi"/>
          <w:bCs/>
          <w:sz w:val="24"/>
          <w:szCs w:val="24"/>
        </w:rPr>
        <w:t>lementing such principles requires sufficient numbers of support workers</w:t>
      </w:r>
      <w:r w:rsidR="00263F9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6E6FCA">
        <w:rPr>
          <w:rFonts w:asciiTheme="majorHAnsi" w:hAnsiTheme="majorHAnsi" w:cstheme="majorHAnsi"/>
          <w:bCs/>
          <w:sz w:val="24"/>
          <w:szCs w:val="24"/>
        </w:rPr>
        <w:t xml:space="preserve">who </w:t>
      </w:r>
      <w:r w:rsidR="00D86291">
        <w:rPr>
          <w:rFonts w:asciiTheme="majorHAnsi" w:hAnsiTheme="majorHAnsi" w:cstheme="majorHAnsi"/>
          <w:bCs/>
          <w:sz w:val="24"/>
          <w:szCs w:val="24"/>
        </w:rPr>
        <w:t>are</w:t>
      </w:r>
      <w:r w:rsidR="00263F9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C673A">
        <w:rPr>
          <w:rFonts w:asciiTheme="majorHAnsi" w:hAnsiTheme="majorHAnsi" w:cstheme="majorHAnsi"/>
          <w:bCs/>
          <w:sz w:val="24"/>
          <w:szCs w:val="24"/>
        </w:rPr>
        <w:t>trained on the principles of the CRPD</w:t>
      </w:r>
      <w:r w:rsidR="00830BC3">
        <w:rPr>
          <w:rFonts w:asciiTheme="majorHAnsi" w:hAnsiTheme="majorHAnsi" w:cstheme="majorHAnsi"/>
          <w:bCs/>
          <w:sz w:val="24"/>
          <w:szCs w:val="24"/>
        </w:rPr>
        <w:t xml:space="preserve"> – notably, autonomy, choice and control and social inclusion.</w:t>
      </w:r>
      <w:r w:rsidR="00AF24C2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D2291">
        <w:rPr>
          <w:rFonts w:asciiTheme="majorHAnsi" w:hAnsiTheme="majorHAnsi" w:cstheme="majorHAnsi"/>
          <w:bCs/>
          <w:sz w:val="24"/>
          <w:szCs w:val="24"/>
        </w:rPr>
        <w:t>However, it is well known that</w:t>
      </w:r>
      <w:r w:rsidR="00263F9C" w:rsidRPr="00263F9C">
        <w:rPr>
          <w:rFonts w:asciiTheme="majorHAnsi" w:hAnsiTheme="majorHAnsi" w:cstheme="majorHAnsi"/>
          <w:bCs/>
          <w:sz w:val="24"/>
          <w:szCs w:val="24"/>
        </w:rPr>
        <w:t xml:space="preserve"> the decreasing number of available staff and </w:t>
      </w:r>
      <w:r w:rsidR="00D86291">
        <w:rPr>
          <w:rFonts w:asciiTheme="majorHAnsi" w:hAnsiTheme="majorHAnsi" w:cstheme="majorHAnsi"/>
          <w:bCs/>
          <w:sz w:val="24"/>
          <w:szCs w:val="24"/>
        </w:rPr>
        <w:t>the lack of adequate</w:t>
      </w:r>
      <w:r w:rsidR="00263F9C" w:rsidRPr="00263F9C">
        <w:rPr>
          <w:rFonts w:asciiTheme="majorHAnsi" w:hAnsiTheme="majorHAnsi" w:cstheme="majorHAnsi"/>
          <w:bCs/>
          <w:sz w:val="24"/>
          <w:szCs w:val="24"/>
        </w:rPr>
        <w:t xml:space="preserve"> opportunities</w:t>
      </w:r>
      <w:r w:rsidR="00263F9C">
        <w:rPr>
          <w:rFonts w:asciiTheme="majorHAnsi" w:hAnsiTheme="majorHAnsi" w:cstheme="majorHAnsi"/>
          <w:bCs/>
          <w:sz w:val="24"/>
          <w:szCs w:val="24"/>
        </w:rPr>
        <w:t xml:space="preserve"> for the professional development of care workers</w:t>
      </w:r>
      <w:r w:rsidR="002D2291">
        <w:rPr>
          <w:rFonts w:asciiTheme="majorHAnsi" w:hAnsiTheme="majorHAnsi" w:cstheme="majorHAnsi"/>
          <w:bCs/>
          <w:sz w:val="24"/>
          <w:szCs w:val="24"/>
        </w:rPr>
        <w:t xml:space="preserve"> are two of the main challenges currently affecting the support</w:t>
      </w:r>
      <w:r w:rsidR="00A852BB">
        <w:rPr>
          <w:rFonts w:asciiTheme="majorHAnsi" w:hAnsiTheme="majorHAnsi" w:cstheme="majorHAnsi"/>
          <w:bCs/>
          <w:sz w:val="24"/>
          <w:szCs w:val="24"/>
        </w:rPr>
        <w:t xml:space="preserve"> services</w:t>
      </w:r>
      <w:r w:rsidR="002D2291">
        <w:rPr>
          <w:rFonts w:asciiTheme="majorHAnsi" w:hAnsiTheme="majorHAnsi" w:cstheme="majorHAnsi"/>
          <w:bCs/>
          <w:sz w:val="24"/>
          <w:szCs w:val="24"/>
        </w:rPr>
        <w:t xml:space="preserve"> sector.</w:t>
      </w:r>
    </w:p>
    <w:p w14:paraId="0F87D600" w14:textId="77777777" w:rsidR="00830BC3" w:rsidRDefault="00830BC3" w:rsidP="00830BC3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1738DCE" w14:textId="109C0F67" w:rsidR="003B6915" w:rsidRDefault="00D86291" w:rsidP="000B1A09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The lack of adequately trained support workers specifically represents o</w:t>
      </w:r>
      <w:r w:rsidR="004C4468">
        <w:rPr>
          <w:rFonts w:asciiTheme="majorHAnsi" w:hAnsiTheme="majorHAnsi" w:cstheme="majorHAnsi"/>
          <w:bCs/>
          <w:sz w:val="24"/>
          <w:szCs w:val="24"/>
        </w:rPr>
        <w:t>ne</w:t>
      </w:r>
      <w:r>
        <w:rPr>
          <w:rFonts w:asciiTheme="majorHAnsi" w:hAnsiTheme="majorHAnsi" w:cstheme="majorHAnsi"/>
          <w:bCs/>
          <w:sz w:val="24"/>
          <w:szCs w:val="24"/>
        </w:rPr>
        <w:t xml:space="preserve"> of the main</w:t>
      </w:r>
      <w:r w:rsidR="004C4468">
        <w:rPr>
          <w:rFonts w:asciiTheme="majorHAnsi" w:hAnsiTheme="majorHAnsi" w:cstheme="majorHAnsi"/>
          <w:bCs/>
          <w:sz w:val="24"/>
          <w:szCs w:val="24"/>
        </w:rPr>
        <w:t xml:space="preserve"> barrier</w:t>
      </w:r>
      <w:r>
        <w:rPr>
          <w:rFonts w:asciiTheme="majorHAnsi" w:hAnsiTheme="majorHAnsi" w:cstheme="majorHAnsi"/>
          <w:bCs/>
          <w:sz w:val="24"/>
          <w:szCs w:val="24"/>
        </w:rPr>
        <w:t>s</w:t>
      </w:r>
      <w:r w:rsidR="004C4468">
        <w:rPr>
          <w:rFonts w:asciiTheme="majorHAnsi" w:hAnsiTheme="majorHAnsi" w:cstheme="majorHAnsi"/>
          <w:bCs/>
          <w:sz w:val="24"/>
          <w:szCs w:val="24"/>
        </w:rPr>
        <w:t xml:space="preserve"> to the </w:t>
      </w:r>
      <w:r w:rsidR="00830BC3">
        <w:rPr>
          <w:rFonts w:asciiTheme="majorHAnsi" w:hAnsiTheme="majorHAnsi" w:cstheme="majorHAnsi"/>
          <w:bCs/>
          <w:sz w:val="24"/>
          <w:szCs w:val="24"/>
        </w:rPr>
        <w:t xml:space="preserve">implementation of Article 19 </w:t>
      </w:r>
      <w:r w:rsidR="004C4468">
        <w:rPr>
          <w:rFonts w:asciiTheme="majorHAnsi" w:hAnsiTheme="majorHAnsi" w:cstheme="majorHAnsi"/>
          <w:bCs/>
          <w:sz w:val="24"/>
          <w:szCs w:val="24"/>
        </w:rPr>
        <w:t>for many persons with disabilities</w:t>
      </w:r>
      <w:r w:rsidR="00B527B8">
        <w:rPr>
          <w:rFonts w:asciiTheme="majorHAnsi" w:hAnsiTheme="majorHAnsi" w:cstheme="majorHAnsi"/>
          <w:bCs/>
          <w:sz w:val="24"/>
          <w:szCs w:val="24"/>
        </w:rPr>
        <w:t>.</w:t>
      </w:r>
      <w:r w:rsidR="004C4468">
        <w:rPr>
          <w:rFonts w:asciiTheme="majorHAnsi" w:hAnsiTheme="majorHAnsi" w:cstheme="majorHAnsi"/>
          <w:bCs/>
          <w:sz w:val="24"/>
          <w:szCs w:val="24"/>
        </w:rPr>
        <w:t xml:space="preserve"> This is the case across much of Europe</w:t>
      </w:r>
      <w:r w:rsidR="00B44F24">
        <w:rPr>
          <w:rFonts w:asciiTheme="majorHAnsi" w:hAnsiTheme="majorHAnsi" w:cstheme="majorHAnsi"/>
          <w:bCs/>
          <w:sz w:val="24"/>
          <w:szCs w:val="24"/>
        </w:rPr>
        <w:t xml:space="preserve">, as well as in the USA. Staff shortages </w:t>
      </w:r>
      <w:r w:rsidR="00BA5815">
        <w:rPr>
          <w:rFonts w:asciiTheme="majorHAnsi" w:hAnsiTheme="majorHAnsi" w:cstheme="majorHAnsi"/>
          <w:bCs/>
          <w:sz w:val="24"/>
          <w:szCs w:val="24"/>
        </w:rPr>
        <w:t xml:space="preserve">further make it difficult to provide adequate </w:t>
      </w:r>
      <w:r w:rsidR="00EE4727">
        <w:rPr>
          <w:rFonts w:asciiTheme="majorHAnsi" w:hAnsiTheme="majorHAnsi" w:cstheme="majorHAnsi"/>
          <w:bCs/>
          <w:sz w:val="24"/>
          <w:szCs w:val="24"/>
        </w:rPr>
        <w:t>support for many service providers across the globe</w:t>
      </w:r>
      <w:r w:rsidR="000B1A09">
        <w:rPr>
          <w:rFonts w:asciiTheme="majorHAnsi" w:hAnsiTheme="majorHAnsi" w:cstheme="majorHAnsi"/>
          <w:bCs/>
          <w:sz w:val="24"/>
          <w:szCs w:val="24"/>
        </w:rPr>
        <w:t>.</w:t>
      </w:r>
      <w:r w:rsidR="003B6915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4B903E03" w14:textId="77777777" w:rsidR="003B6915" w:rsidRDefault="003B6915" w:rsidP="000B1A09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0A024FF" w14:textId="4E079F7C" w:rsidR="00830BC3" w:rsidRDefault="003B6915" w:rsidP="000B1A09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The following side event will be the opportunity to learn how </w:t>
      </w:r>
      <w:r w:rsidR="00600976">
        <w:rPr>
          <w:rFonts w:asciiTheme="majorHAnsi" w:hAnsiTheme="majorHAnsi" w:cstheme="majorHAnsi"/>
          <w:bCs/>
          <w:sz w:val="24"/>
          <w:szCs w:val="24"/>
        </w:rPr>
        <w:t>persons with disabilities, service providers and policy makers</w:t>
      </w:r>
      <w:r>
        <w:rPr>
          <w:rFonts w:asciiTheme="majorHAnsi" w:hAnsiTheme="majorHAnsi" w:cstheme="majorHAnsi"/>
          <w:bCs/>
          <w:sz w:val="24"/>
          <w:szCs w:val="24"/>
        </w:rPr>
        <w:t xml:space="preserve"> in both the USA and Europe are finding solutions to staff shortages</w:t>
      </w:r>
      <w:r w:rsidR="006D046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72937">
        <w:rPr>
          <w:rFonts w:asciiTheme="majorHAnsi" w:hAnsiTheme="majorHAnsi" w:cstheme="majorHAnsi"/>
          <w:bCs/>
          <w:sz w:val="24"/>
          <w:szCs w:val="24"/>
        </w:rPr>
        <w:t xml:space="preserve">and discuss </w:t>
      </w:r>
      <w:r w:rsidR="00A0666A">
        <w:rPr>
          <w:rFonts w:asciiTheme="majorHAnsi" w:hAnsiTheme="majorHAnsi" w:cstheme="majorHAnsi"/>
          <w:bCs/>
          <w:sz w:val="24"/>
          <w:szCs w:val="24"/>
        </w:rPr>
        <w:t xml:space="preserve">the relationship between the recruitment and retention of </w:t>
      </w:r>
      <w:r w:rsidR="00087292">
        <w:rPr>
          <w:rFonts w:asciiTheme="majorHAnsi" w:hAnsiTheme="majorHAnsi" w:cstheme="majorHAnsi"/>
          <w:bCs/>
          <w:sz w:val="24"/>
          <w:szCs w:val="24"/>
        </w:rPr>
        <w:t>well-trained</w:t>
      </w:r>
      <w:r w:rsidR="00A0666A">
        <w:rPr>
          <w:rFonts w:asciiTheme="majorHAnsi" w:hAnsiTheme="majorHAnsi" w:cstheme="majorHAnsi"/>
          <w:bCs/>
          <w:sz w:val="24"/>
          <w:szCs w:val="24"/>
        </w:rPr>
        <w:t xml:space="preserve"> support staff </w:t>
      </w:r>
      <w:r w:rsidR="00840B60">
        <w:rPr>
          <w:rFonts w:asciiTheme="majorHAnsi" w:hAnsiTheme="majorHAnsi" w:cstheme="majorHAnsi"/>
          <w:bCs/>
          <w:sz w:val="24"/>
          <w:szCs w:val="24"/>
        </w:rPr>
        <w:t xml:space="preserve">and article 19 </w:t>
      </w:r>
      <w:r w:rsidR="00087292">
        <w:rPr>
          <w:rFonts w:asciiTheme="majorHAnsi" w:hAnsiTheme="majorHAnsi" w:cstheme="majorHAnsi"/>
          <w:bCs/>
          <w:sz w:val="24"/>
          <w:szCs w:val="24"/>
        </w:rPr>
        <w:t xml:space="preserve">of the </w:t>
      </w:r>
      <w:r w:rsidR="00840B60">
        <w:rPr>
          <w:rFonts w:asciiTheme="majorHAnsi" w:hAnsiTheme="majorHAnsi" w:cstheme="majorHAnsi"/>
          <w:bCs/>
          <w:sz w:val="24"/>
          <w:szCs w:val="24"/>
        </w:rPr>
        <w:t>UN CRPD</w:t>
      </w:r>
      <w:r w:rsidR="00572937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47D34BA3" w14:textId="77777777" w:rsidR="006E11F4" w:rsidRDefault="006E11F4" w:rsidP="000B1A09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B5CD8CE" w14:textId="77777777" w:rsidR="00BA5815" w:rsidRDefault="00BA5815" w:rsidP="000B1A09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CC72B37" w14:textId="77777777" w:rsidR="00BA5815" w:rsidRDefault="00BA5815" w:rsidP="000B1A09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A068622" w14:textId="3D58A538" w:rsidR="006E11F4" w:rsidRDefault="006E11F4" w:rsidP="000B1A09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Speakers will include:</w:t>
      </w:r>
    </w:p>
    <w:p w14:paraId="0CF9FDAD" w14:textId="311EA64E" w:rsidR="006E11F4" w:rsidRPr="006E11F4" w:rsidRDefault="006E11F4" w:rsidP="006E11F4">
      <w:pPr>
        <w:pStyle w:val="ListParagraph"/>
        <w:numPr>
          <w:ilvl w:val="0"/>
          <w:numId w:val="3"/>
        </w:numPr>
        <w:ind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Gerard Quinn, UN Special Rapporteur for Disability (tbc)</w:t>
      </w:r>
      <w:r w:rsidR="006D287E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17E084D8" w14:textId="06237495" w:rsidR="006E11F4" w:rsidRDefault="006E11F4" w:rsidP="006E11F4">
      <w:pPr>
        <w:pStyle w:val="ListParagraph"/>
        <w:numPr>
          <w:ilvl w:val="0"/>
          <w:numId w:val="3"/>
        </w:numPr>
        <w:ind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Representative from the European Commission </w:t>
      </w:r>
    </w:p>
    <w:p w14:paraId="251E7D5C" w14:textId="24822DAA" w:rsidR="006E11F4" w:rsidRDefault="00E25FC9" w:rsidP="006E11F4">
      <w:pPr>
        <w:pStyle w:val="ListParagraph"/>
        <w:numPr>
          <w:ilvl w:val="0"/>
          <w:numId w:val="3"/>
        </w:numPr>
        <w:ind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Representative from ANCOR </w:t>
      </w:r>
    </w:p>
    <w:p w14:paraId="7C85974D" w14:textId="165B39A1" w:rsidR="00755845" w:rsidRDefault="00755845" w:rsidP="006E11F4">
      <w:pPr>
        <w:pStyle w:val="ListParagraph"/>
        <w:numPr>
          <w:ilvl w:val="0"/>
          <w:numId w:val="3"/>
        </w:numPr>
        <w:ind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Representative from Keystone Human Services </w:t>
      </w:r>
    </w:p>
    <w:p w14:paraId="61F6FC98" w14:textId="2B725D91" w:rsidR="00E25FC9" w:rsidRDefault="00755845" w:rsidP="006E11F4">
      <w:pPr>
        <w:pStyle w:val="ListParagraph"/>
        <w:numPr>
          <w:ilvl w:val="0"/>
          <w:numId w:val="3"/>
        </w:numPr>
        <w:ind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Javier Guemes, Vice President, EASPD</w:t>
      </w:r>
    </w:p>
    <w:p w14:paraId="33BC554D" w14:textId="3CA06B58" w:rsidR="00E25FC9" w:rsidRDefault="00E25FC9" w:rsidP="006E11F4">
      <w:pPr>
        <w:pStyle w:val="ListParagraph"/>
        <w:numPr>
          <w:ilvl w:val="0"/>
          <w:numId w:val="3"/>
        </w:numPr>
        <w:ind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Representative from </w:t>
      </w:r>
      <w:r w:rsidR="00F72027">
        <w:rPr>
          <w:rFonts w:asciiTheme="majorHAnsi" w:hAnsiTheme="majorHAnsi" w:cstheme="majorHAnsi"/>
          <w:bCs/>
          <w:sz w:val="24"/>
          <w:szCs w:val="24"/>
        </w:rPr>
        <w:t>Inclusion International</w:t>
      </w:r>
      <w:r>
        <w:rPr>
          <w:rFonts w:asciiTheme="majorHAnsi" w:hAnsiTheme="majorHAnsi" w:cstheme="majorHAnsi"/>
          <w:bCs/>
          <w:sz w:val="24"/>
          <w:szCs w:val="24"/>
        </w:rPr>
        <w:t xml:space="preserve"> (tbc)</w:t>
      </w:r>
      <w:r w:rsidR="00F6369F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237AF15" w14:textId="77777777" w:rsidR="00E25FC9" w:rsidRDefault="00E25FC9" w:rsidP="00E25FC9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C93D9C1" w14:textId="0D71C285" w:rsidR="00E25FC9" w:rsidRDefault="00E25FC9" w:rsidP="00E25FC9">
      <w:pPr>
        <w:ind w:left="720" w:right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For more information, please contact </w:t>
      </w:r>
      <w:hyperlink r:id="rId11" w:history="1">
        <w:r w:rsidRPr="00E546D5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thomas.bignal@easpd.eu</w:t>
        </w:r>
      </w:hyperlink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sectPr w:rsidR="00E25F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025" w:right="180" w:bottom="1440" w:left="180" w:header="59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6055" w14:textId="77777777" w:rsidR="008B2AE7" w:rsidRDefault="008B2AE7">
      <w:pPr>
        <w:spacing w:line="240" w:lineRule="auto"/>
      </w:pPr>
      <w:r>
        <w:separator/>
      </w:r>
    </w:p>
  </w:endnote>
  <w:endnote w:type="continuationSeparator" w:id="0">
    <w:p w14:paraId="31850013" w14:textId="77777777" w:rsidR="008B2AE7" w:rsidRDefault="008B2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359" w14:textId="77777777" w:rsidR="00A75A67" w:rsidRDefault="00A75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8F4" w14:textId="61B942A8" w:rsidR="00773C9B" w:rsidRDefault="005537E5">
    <w:pPr>
      <w:jc w:val="center"/>
      <w:rPr>
        <w:rFonts w:asciiTheme="majorHAnsi" w:hAnsiTheme="majorHAnsi" w:cstheme="majorHAnsi"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05A427" wp14:editId="40407428">
          <wp:simplePos x="0" y="0"/>
          <wp:positionH relativeFrom="page">
            <wp:posOffset>43180</wp:posOffset>
          </wp:positionH>
          <wp:positionV relativeFrom="paragraph">
            <wp:posOffset>-46941</wp:posOffset>
          </wp:positionV>
          <wp:extent cx="7729220" cy="53911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0B4468" wp14:editId="1B3F07FE">
          <wp:simplePos x="0" y="0"/>
          <wp:positionH relativeFrom="margin">
            <wp:align>center</wp:align>
          </wp:positionH>
          <wp:positionV relativeFrom="paragraph">
            <wp:posOffset>396875</wp:posOffset>
          </wp:positionV>
          <wp:extent cx="1835785" cy="3937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CDB7C4" w14:textId="5DCB520F" w:rsidR="00454ED4" w:rsidRDefault="00454ED4">
    <w:pPr>
      <w:jc w:val="center"/>
      <w:rPr>
        <w:rFonts w:asciiTheme="majorHAnsi" w:hAnsiTheme="majorHAnsi" w:cstheme="majorHAnsi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C902" w14:textId="77777777" w:rsidR="00A75A67" w:rsidRDefault="00A75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3F5D" w14:textId="77777777" w:rsidR="008B2AE7" w:rsidRDefault="008B2AE7">
      <w:pPr>
        <w:spacing w:line="240" w:lineRule="auto"/>
      </w:pPr>
      <w:r>
        <w:separator/>
      </w:r>
    </w:p>
  </w:footnote>
  <w:footnote w:type="continuationSeparator" w:id="0">
    <w:p w14:paraId="568E6D0B" w14:textId="77777777" w:rsidR="008B2AE7" w:rsidRDefault="008B2A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A1F9" w14:textId="37BC7C0F" w:rsidR="00A75A67" w:rsidRDefault="00000000">
    <w:pPr>
      <w:pStyle w:val="Header"/>
    </w:pPr>
    <w:r>
      <w:rPr>
        <w:noProof/>
      </w:rPr>
      <w:pict w14:anchorId="4A479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440344" o:spid="_x0000_s1026" type="#_x0000_t136" style="position:absolute;margin-left:0;margin-top:0;width:598.2pt;height:23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1FB" w14:textId="08608284" w:rsidR="00773C9B" w:rsidRPr="00F73EF2" w:rsidRDefault="00000000">
    <w:pPr>
      <w:ind w:firstLine="45"/>
      <w:rPr>
        <w:rFonts w:asciiTheme="majorHAnsi" w:hAnsiTheme="majorHAnsi" w:cstheme="majorHAnsi"/>
        <w:sz w:val="12"/>
        <w:szCs w:val="12"/>
        <w:lang w:val="fr-FR"/>
      </w:rPr>
    </w:pPr>
    <w:r>
      <w:rPr>
        <w:noProof/>
      </w:rPr>
      <w:pict w14:anchorId="75CB03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440345" o:spid="_x0000_s1027" type="#_x0000_t136" style="position:absolute;left:0;text-align:left;margin-left:0;margin-top:0;width:598.2pt;height:239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C21494" w:rsidRPr="00D3650B">
      <w:rPr>
        <w:rFonts w:asciiTheme="majorHAnsi" w:hAnsiTheme="majorHAnsi" w:cstheme="majorHAnsi"/>
        <w:noProof/>
        <w:sz w:val="12"/>
        <w:szCs w:val="12"/>
      </w:rPr>
      <w:drawing>
        <wp:anchor distT="114300" distB="114300" distL="114300" distR="114300" simplePos="0" relativeHeight="251658240" behindDoc="1" locked="0" layoutInCell="1" hidden="0" allowOverlap="1" wp14:anchorId="016AD4DE" wp14:editId="7A75015E">
          <wp:simplePos x="0" y="0"/>
          <wp:positionH relativeFrom="page">
            <wp:posOffset>133350</wp:posOffset>
          </wp:positionH>
          <wp:positionV relativeFrom="page">
            <wp:posOffset>133350</wp:posOffset>
          </wp:positionV>
          <wp:extent cx="7543800" cy="8509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3650B" w:rsidRPr="00F73EF2">
      <w:rPr>
        <w:rFonts w:asciiTheme="majorHAnsi" w:hAnsiTheme="majorHAnsi" w:cstheme="majorHAnsi"/>
        <w:sz w:val="12"/>
        <w:szCs w:val="12"/>
        <w:lang w:val="fr-FR"/>
      </w:rPr>
      <w:t xml:space="preserve">  </w:t>
    </w:r>
    <w:r w:rsidR="00C21494" w:rsidRPr="00F73EF2">
      <w:rPr>
        <w:rFonts w:asciiTheme="majorHAnsi" w:hAnsiTheme="majorHAnsi" w:cstheme="majorHAnsi"/>
        <w:sz w:val="12"/>
        <w:szCs w:val="12"/>
        <w:lang w:val="fr-FR"/>
      </w:rPr>
      <w:t xml:space="preserve">www.easpd.eu      </w:t>
    </w:r>
    <w:r w:rsidR="00D3650B" w:rsidRPr="00F73EF2">
      <w:rPr>
        <w:rFonts w:asciiTheme="majorHAnsi" w:hAnsiTheme="majorHAnsi" w:cstheme="majorHAnsi"/>
        <w:sz w:val="12"/>
        <w:szCs w:val="12"/>
        <w:lang w:val="fr-FR"/>
      </w:rPr>
      <w:t xml:space="preserve">  </w:t>
    </w:r>
    <w:r w:rsidR="00C21494" w:rsidRPr="00F73EF2">
      <w:rPr>
        <w:rFonts w:asciiTheme="majorHAnsi" w:hAnsiTheme="majorHAnsi" w:cstheme="majorHAnsi"/>
        <w:sz w:val="12"/>
        <w:szCs w:val="12"/>
        <w:lang w:val="fr-FR"/>
      </w:rPr>
      <w:t xml:space="preserve"> info@easpd.eu       </w:t>
    </w:r>
    <w:r w:rsidR="00D3650B" w:rsidRPr="00F73EF2">
      <w:rPr>
        <w:rFonts w:asciiTheme="majorHAnsi" w:hAnsiTheme="majorHAnsi" w:cstheme="majorHAnsi"/>
        <w:sz w:val="12"/>
        <w:szCs w:val="12"/>
        <w:lang w:val="fr-FR"/>
      </w:rPr>
      <w:t xml:space="preserve">    </w:t>
    </w:r>
    <w:r w:rsidR="00C21494" w:rsidRPr="00F73EF2">
      <w:rPr>
        <w:rFonts w:asciiTheme="majorHAnsi" w:hAnsiTheme="majorHAnsi" w:cstheme="majorHAnsi"/>
        <w:sz w:val="12"/>
        <w:szCs w:val="12"/>
        <w:lang w:val="fr-FR"/>
      </w:rPr>
      <w:t xml:space="preserve">+32 2 233 7720       </w:t>
    </w:r>
    <w:r w:rsidR="00D3650B" w:rsidRPr="00F73EF2">
      <w:rPr>
        <w:rFonts w:asciiTheme="majorHAnsi" w:hAnsiTheme="majorHAnsi" w:cstheme="majorHAnsi"/>
        <w:sz w:val="12"/>
        <w:szCs w:val="12"/>
        <w:lang w:val="fr-FR"/>
      </w:rPr>
      <w:t xml:space="preserve">     </w:t>
    </w:r>
    <w:r w:rsidR="00C21494" w:rsidRPr="00F73EF2">
      <w:rPr>
        <w:rFonts w:asciiTheme="majorHAnsi" w:hAnsiTheme="majorHAnsi" w:cstheme="majorHAnsi"/>
        <w:sz w:val="12"/>
        <w:szCs w:val="12"/>
        <w:lang w:val="fr-FR"/>
      </w:rPr>
      <w:t xml:space="preserve">RN 0478.078.455                                                                                                                                  </w:t>
    </w:r>
    <w:r w:rsidR="006E01F5">
      <w:rPr>
        <w:rFonts w:asciiTheme="majorHAnsi" w:hAnsiTheme="majorHAnsi" w:cstheme="majorHAnsi"/>
        <w:sz w:val="12"/>
        <w:szCs w:val="12"/>
        <w:lang w:val="fr-FR"/>
      </w:rPr>
      <w:t xml:space="preserve">                                              </w:t>
    </w:r>
    <w:r w:rsidR="00C21494" w:rsidRPr="00F73EF2">
      <w:rPr>
        <w:rFonts w:asciiTheme="majorHAnsi" w:hAnsiTheme="majorHAnsi" w:cstheme="majorHAnsi"/>
        <w:sz w:val="12"/>
        <w:szCs w:val="12"/>
        <w:lang w:val="fr-FR"/>
      </w:rPr>
      <w:t>Handelsstraat 72 Rue du Commerce B-1040 Brussels - Belgium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345D" w14:textId="42B855F0" w:rsidR="00A75A67" w:rsidRDefault="00000000">
    <w:pPr>
      <w:pStyle w:val="Header"/>
    </w:pPr>
    <w:r>
      <w:rPr>
        <w:noProof/>
      </w:rPr>
      <w:pict w14:anchorId="3AC8C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440343" o:spid="_x0000_s1025" type="#_x0000_t136" style="position:absolute;margin-left:0;margin-top:0;width:598.2pt;height:23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3E1"/>
    <w:multiLevelType w:val="hybridMultilevel"/>
    <w:tmpl w:val="9B80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83F64"/>
    <w:multiLevelType w:val="hybridMultilevel"/>
    <w:tmpl w:val="FDC4E840"/>
    <w:lvl w:ilvl="0" w:tplc="76FE6F72">
      <w:start w:val="19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A233E7"/>
    <w:multiLevelType w:val="hybridMultilevel"/>
    <w:tmpl w:val="CB0C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732850">
    <w:abstractNumId w:val="0"/>
  </w:num>
  <w:num w:numId="2" w16cid:durableId="1277132744">
    <w:abstractNumId w:val="2"/>
  </w:num>
  <w:num w:numId="3" w16cid:durableId="164484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B"/>
    <w:rsid w:val="00027A27"/>
    <w:rsid w:val="00087292"/>
    <w:rsid w:val="000945AB"/>
    <w:rsid w:val="0009542F"/>
    <w:rsid w:val="000B1A09"/>
    <w:rsid w:val="000F0D3F"/>
    <w:rsid w:val="00126779"/>
    <w:rsid w:val="00145704"/>
    <w:rsid w:val="00263F9C"/>
    <w:rsid w:val="002A71AC"/>
    <w:rsid w:val="002D2291"/>
    <w:rsid w:val="00320C23"/>
    <w:rsid w:val="00356BA2"/>
    <w:rsid w:val="003B6915"/>
    <w:rsid w:val="003C4A66"/>
    <w:rsid w:val="00427855"/>
    <w:rsid w:val="00454ED4"/>
    <w:rsid w:val="004725B7"/>
    <w:rsid w:val="004C4468"/>
    <w:rsid w:val="0054285B"/>
    <w:rsid w:val="005537E5"/>
    <w:rsid w:val="005540CA"/>
    <w:rsid w:val="00572937"/>
    <w:rsid w:val="005C5016"/>
    <w:rsid w:val="005D65E7"/>
    <w:rsid w:val="005F28DE"/>
    <w:rsid w:val="00600976"/>
    <w:rsid w:val="00613243"/>
    <w:rsid w:val="00651055"/>
    <w:rsid w:val="006D0466"/>
    <w:rsid w:val="006D287E"/>
    <w:rsid w:val="006E01F5"/>
    <w:rsid w:val="006E11F4"/>
    <w:rsid w:val="006E6FCA"/>
    <w:rsid w:val="00755845"/>
    <w:rsid w:val="00773C9B"/>
    <w:rsid w:val="00783A47"/>
    <w:rsid w:val="00794842"/>
    <w:rsid w:val="008240AE"/>
    <w:rsid w:val="00830BC3"/>
    <w:rsid w:val="00840B60"/>
    <w:rsid w:val="00851010"/>
    <w:rsid w:val="00872061"/>
    <w:rsid w:val="0089625C"/>
    <w:rsid w:val="008B2AE7"/>
    <w:rsid w:val="00941462"/>
    <w:rsid w:val="009D6F7C"/>
    <w:rsid w:val="00A0666A"/>
    <w:rsid w:val="00A267EB"/>
    <w:rsid w:val="00A75A67"/>
    <w:rsid w:val="00A8473A"/>
    <w:rsid w:val="00A852BB"/>
    <w:rsid w:val="00A933A0"/>
    <w:rsid w:val="00AB6097"/>
    <w:rsid w:val="00AC4FA5"/>
    <w:rsid w:val="00AE1918"/>
    <w:rsid w:val="00AF24C2"/>
    <w:rsid w:val="00B101C4"/>
    <w:rsid w:val="00B43A14"/>
    <w:rsid w:val="00B44F24"/>
    <w:rsid w:val="00B527B8"/>
    <w:rsid w:val="00BA5815"/>
    <w:rsid w:val="00C21494"/>
    <w:rsid w:val="00CC673A"/>
    <w:rsid w:val="00D16FE0"/>
    <w:rsid w:val="00D3650B"/>
    <w:rsid w:val="00D775B3"/>
    <w:rsid w:val="00D86291"/>
    <w:rsid w:val="00E12116"/>
    <w:rsid w:val="00E25FC9"/>
    <w:rsid w:val="00E86902"/>
    <w:rsid w:val="00E95AB4"/>
    <w:rsid w:val="00EA2D37"/>
    <w:rsid w:val="00EB4FE5"/>
    <w:rsid w:val="00EE4727"/>
    <w:rsid w:val="00F42DA5"/>
    <w:rsid w:val="00F6369F"/>
    <w:rsid w:val="00F72027"/>
    <w:rsid w:val="00F73EF2"/>
    <w:rsid w:val="00F800B0"/>
    <w:rsid w:val="00F95691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07BAF"/>
  <w15:docId w15:val="{7BF9329B-0868-43F5-9280-0932368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365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0B"/>
  </w:style>
  <w:style w:type="paragraph" w:styleId="Footer">
    <w:name w:val="footer"/>
    <w:basedOn w:val="Normal"/>
    <w:link w:val="FooterChar"/>
    <w:uiPriority w:val="99"/>
    <w:unhideWhenUsed/>
    <w:rsid w:val="00D365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0B"/>
  </w:style>
  <w:style w:type="character" w:styleId="Hyperlink">
    <w:name w:val="Hyperlink"/>
    <w:basedOn w:val="DefaultParagraphFont"/>
    <w:uiPriority w:val="99"/>
    <w:unhideWhenUsed/>
    <w:rsid w:val="005428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85B"/>
    <w:rPr>
      <w:color w:val="605E5C"/>
      <w:shd w:val="clear" w:color="auto" w:fill="E1DFDD"/>
    </w:rPr>
  </w:style>
  <w:style w:type="paragraph" w:customStyle="1" w:styleId="Default">
    <w:name w:val="Default"/>
    <w:rsid w:val="008240AE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table" w:styleId="PlainTable2">
    <w:name w:val="Plain Table 2"/>
    <w:basedOn w:val="TableNormal"/>
    <w:uiPriority w:val="42"/>
    <w:rsid w:val="008240A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E11F4"/>
    <w:pPr>
      <w:ind w:left="720"/>
      <w:contextualSpacing/>
    </w:pPr>
  </w:style>
  <w:style w:type="paragraph" w:styleId="Revision">
    <w:name w:val="Revision"/>
    <w:hidden/>
    <w:uiPriority w:val="99"/>
    <w:semiHidden/>
    <w:rsid w:val="0065105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2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.bignal@easpd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e6542-4a28-464b-916a-ac287e1e15ef">
      <Terms xmlns="http://schemas.microsoft.com/office/infopath/2007/PartnerControls"/>
    </lcf76f155ced4ddcb4097134ff3c332f>
    <TaxCatchAll xmlns="cae8c1b8-3cee-434b-8da9-32960356a7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3F4810AB72642817D07682898C628" ma:contentTypeVersion="16" ma:contentTypeDescription="Create a new document." ma:contentTypeScope="" ma:versionID="9c0d64fe8258fa2a9e70787961446e7a">
  <xsd:schema xmlns:xsd="http://www.w3.org/2001/XMLSchema" xmlns:xs="http://www.w3.org/2001/XMLSchema" xmlns:p="http://schemas.microsoft.com/office/2006/metadata/properties" xmlns:ns2="0b4e6542-4a28-464b-916a-ac287e1e15ef" xmlns:ns3="cae8c1b8-3cee-434b-8da9-32960356a7de" targetNamespace="http://schemas.microsoft.com/office/2006/metadata/properties" ma:root="true" ma:fieldsID="b6b411a29858ba1e9f700040674ccb11" ns2:_="" ns3:_="">
    <xsd:import namespace="0b4e6542-4a28-464b-916a-ac287e1e15ef"/>
    <xsd:import namespace="cae8c1b8-3cee-434b-8da9-32960356a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6542-4a28-464b-916a-ac287e1e1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60ac6d-2d98-46b4-814c-7165044f0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c1b8-3cee-434b-8da9-32960356a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13aecc-10f9-435e-a0c0-6a8e69e4f875}" ma:internalName="TaxCatchAll" ma:showField="CatchAllData" ma:web="cae8c1b8-3cee-434b-8da9-32960356a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19F3E-B4CF-42E7-9817-CBE89412C6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A59A-31BD-4904-8B69-A74363F0709C}">
  <ds:schemaRefs>
    <ds:schemaRef ds:uri="http://schemas.microsoft.com/office/2006/metadata/properties"/>
    <ds:schemaRef ds:uri="http://schemas.microsoft.com/office/infopath/2007/PartnerControls"/>
    <ds:schemaRef ds:uri="0b4e6542-4a28-464b-916a-ac287e1e15ef"/>
    <ds:schemaRef ds:uri="cae8c1b8-3cee-434b-8da9-32960356a7de"/>
  </ds:schemaRefs>
</ds:datastoreItem>
</file>

<file path=customXml/itemProps3.xml><?xml version="1.0" encoding="utf-8"?>
<ds:datastoreItem xmlns:ds="http://schemas.openxmlformats.org/officeDocument/2006/customXml" ds:itemID="{73BC540F-A090-426C-ADA5-F442768F0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e6542-4a28-464b-916a-ac287e1e15ef"/>
    <ds:schemaRef ds:uri="cae8c1b8-3cee-434b-8da9-3296035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959D7-7781-4D4D-ACB8-D72641336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Catalin Heghes</dc:creator>
  <cp:lastModifiedBy>Thomas Bignal [EASPD]</cp:lastModifiedBy>
  <cp:revision>7</cp:revision>
  <dcterms:created xsi:type="dcterms:W3CDTF">2023-04-07T10:09:00Z</dcterms:created>
  <dcterms:modified xsi:type="dcterms:W3CDTF">2023-04-28T16:59:00Z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0x0101008733F4810AB72642817D07682898C628</vt:lpwstr>
  </property>
  <property fmtid="{D5CDD505-2E9C-101B-9397-08002B2CF9AE}" pid="3" name="MediaServiceImageTags">
    <vt:lpwstr/>
  </property>
  <property fmtid="{D5CDD505-2E9C-101B-9397-08002B2CF9AE}" pid="4" name="GrammarlyDocumentId">
    <vt:lpwstr>4148ddc343223537d64bf525161ca4a5388a18e7a9c25a50d429d1090f6ba1b5</vt:lpwstr>
  </property>
</Properties>
</file>